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D632AD" w:rsidRDefault="00171F33" w:rsidP="00D632AD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D632AD" w:rsidRDefault="00D80734" w:rsidP="00D632AD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</w:p>
    <w:p w:rsidR="00171F33" w:rsidRPr="00D632AD" w:rsidRDefault="00171F33" w:rsidP="00D632AD">
      <w:pPr>
        <w:spacing w:after="0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Piątkowy przepis drogowy</w:t>
      </w:r>
    </w:p>
    <w:p w:rsidR="00D80734" w:rsidRPr="00D632AD" w:rsidRDefault="00D80734" w:rsidP="00D632AD">
      <w:pPr>
        <w:spacing w:after="0"/>
        <w:rPr>
          <w:rFonts w:ascii="Arial" w:hAnsi="Arial" w:cs="Arial"/>
          <w:sz w:val="24"/>
          <w:szCs w:val="24"/>
        </w:rPr>
      </w:pPr>
    </w:p>
    <w:p w:rsidR="00330B74" w:rsidRPr="00D632AD" w:rsidRDefault="00ED51E9" w:rsidP="00D632AD">
      <w:pPr>
        <w:spacing w:after="0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Odc. 6</w:t>
      </w:r>
      <w:r w:rsidR="00E5471D" w:rsidRPr="00D632AD">
        <w:rPr>
          <w:rFonts w:ascii="Arial" w:hAnsi="Arial" w:cs="Arial"/>
          <w:sz w:val="24"/>
          <w:szCs w:val="24"/>
        </w:rPr>
        <w:t>8</w:t>
      </w:r>
      <w:r w:rsidR="005A78C0" w:rsidRPr="00D632AD">
        <w:rPr>
          <w:rFonts w:ascii="Arial" w:hAnsi="Arial" w:cs="Arial"/>
          <w:sz w:val="24"/>
          <w:szCs w:val="24"/>
        </w:rPr>
        <w:t>- „</w:t>
      </w:r>
      <w:r w:rsidR="00E5471D" w:rsidRPr="00D632AD">
        <w:rPr>
          <w:rFonts w:ascii="Arial" w:hAnsi="Arial" w:cs="Arial"/>
          <w:sz w:val="24"/>
          <w:szCs w:val="24"/>
        </w:rPr>
        <w:t>Holowanie</w:t>
      </w:r>
      <w:r w:rsidR="00FB3FA7" w:rsidRPr="00D632AD">
        <w:rPr>
          <w:rFonts w:ascii="Arial" w:hAnsi="Arial" w:cs="Arial"/>
          <w:sz w:val="24"/>
          <w:szCs w:val="24"/>
        </w:rPr>
        <w:t>”</w:t>
      </w:r>
    </w:p>
    <w:p w:rsidR="007E606E" w:rsidRPr="00D632AD" w:rsidRDefault="007E606E" w:rsidP="00D632AD">
      <w:pPr>
        <w:spacing w:after="0"/>
        <w:rPr>
          <w:rFonts w:ascii="Arial" w:hAnsi="Arial" w:cs="Arial"/>
          <w:sz w:val="24"/>
          <w:szCs w:val="24"/>
        </w:rPr>
      </w:pPr>
    </w:p>
    <w:p w:rsidR="00D632AD" w:rsidRPr="00D632AD" w:rsidRDefault="00D632AD" w:rsidP="00D632AD">
      <w:pPr>
        <w:spacing w:line="360" w:lineRule="auto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Kierujący może holować pojazd silnikowy pod warunkiem zachowania niżej wymienionych zasad:</w:t>
      </w:r>
    </w:p>
    <w:p w:rsidR="00D632AD" w:rsidRPr="00D632AD" w:rsidRDefault="00D632AD" w:rsidP="00D632AD">
      <w:pPr>
        <w:spacing w:line="360" w:lineRule="auto"/>
        <w:rPr>
          <w:rFonts w:ascii="Arial" w:hAnsi="Arial" w:cs="Arial"/>
          <w:sz w:val="2"/>
          <w:szCs w:val="24"/>
        </w:rPr>
      </w:pPr>
    </w:p>
    <w:p w:rsidR="00D632AD" w:rsidRPr="00D632AD" w:rsidRDefault="00D632AD" w:rsidP="00D632AD">
      <w:pPr>
        <w:spacing w:line="360" w:lineRule="auto"/>
        <w:ind w:left="6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Pojazd holujący musi mieć włączone światła mijania i poruszać się z prędkością nie większą niż 30 km/h w obszarze zabudowanym i nie większą niż 60 km</w:t>
      </w:r>
      <w:bookmarkStart w:id="0" w:name="_GoBack"/>
      <w:bookmarkEnd w:id="0"/>
      <w:r w:rsidRPr="00D632AD">
        <w:rPr>
          <w:rFonts w:ascii="Arial" w:hAnsi="Arial" w:cs="Arial"/>
          <w:sz w:val="24"/>
          <w:szCs w:val="24"/>
        </w:rPr>
        <w:t>/h poza obszarem zabudowanym.</w:t>
      </w:r>
    </w:p>
    <w:p w:rsidR="00D632AD" w:rsidRPr="00D632AD" w:rsidRDefault="00D632AD" w:rsidP="00D632AD">
      <w:pPr>
        <w:spacing w:line="360" w:lineRule="auto"/>
        <w:rPr>
          <w:rFonts w:ascii="Arial" w:hAnsi="Arial" w:cs="Arial"/>
          <w:sz w:val="2"/>
          <w:szCs w:val="24"/>
        </w:rPr>
      </w:pPr>
    </w:p>
    <w:p w:rsidR="00D632AD" w:rsidRDefault="00D632AD" w:rsidP="00D632AD">
      <w:pPr>
        <w:spacing w:line="360" w:lineRule="auto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Pojazd holowany:</w:t>
      </w:r>
    </w:p>
    <w:p w:rsidR="00D632AD" w:rsidRPr="00D632AD" w:rsidRDefault="00D632AD" w:rsidP="00D632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[Po lewej stronie zdjęcie – widok z tyłu samochodu osobowego holowanego i na drugim planie fragment tyłu samochodu holującego. Pojazd holowany ma umieszczony po lewej stronie, za tylną szybą trójkąt ostrzegawczy. Widoczne warunki drogowe: dobre, pora dzienna.]</w:t>
      </w:r>
    </w:p>
    <w:p w:rsidR="00D632AD" w:rsidRPr="00D632AD" w:rsidRDefault="00D632AD" w:rsidP="00D632AD">
      <w:pPr>
        <w:pStyle w:val="Akapitzlist"/>
        <w:numPr>
          <w:ilvl w:val="0"/>
          <w:numId w:val="9"/>
        </w:numPr>
        <w:spacing w:before="240" w:line="360" w:lineRule="auto"/>
        <w:ind w:left="42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Musi być kierowany przez osobę mającą uprawnienia do kierowania tym pojazdem, chyba że sposób holowania wyklucza potrzebę kierowania nim.</w:t>
      </w:r>
    </w:p>
    <w:p w:rsidR="00D632AD" w:rsidRPr="00D632AD" w:rsidRDefault="00D632AD" w:rsidP="00D632AD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Musi być połączony z pojazdem holującym w sposób wykluczający odczepienie się w czasie jazdy, a w przypadku holowanego motocykla musi być on połączony z pojazdem holującym połączeniem giętkim w sposób umożliwiający  łatwe odczepienie.</w:t>
      </w:r>
    </w:p>
    <w:p w:rsidR="00D632AD" w:rsidRPr="00D632AD" w:rsidRDefault="00D632AD" w:rsidP="00D632AD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Ma być oznaczony odblaskowym trójkątem ostrzegawczym z tyłu po lewej stronie (nie dotyczy motocykla), lub musi wysyłać żółte sygnały błyskowe (nie mogą to być światła awaryjne). W okresie niedostatecznej widoczności pojazd holowany ma mieć włączone światła pozycyjne.</w:t>
      </w:r>
    </w:p>
    <w:p w:rsidR="00D632AD" w:rsidRPr="00D632AD" w:rsidRDefault="00D632AD" w:rsidP="00D632AD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W pojeździe holowanym, w przypadku połączenia sztywnego musi być sprawny co najmniej jeden układ hamulców, a przy połączeniu giętkim – dwa układy.</w:t>
      </w:r>
    </w:p>
    <w:p w:rsidR="00D632AD" w:rsidRPr="00D632AD" w:rsidRDefault="00D632AD" w:rsidP="00D632AD">
      <w:pPr>
        <w:spacing w:line="360" w:lineRule="auto"/>
        <w:rPr>
          <w:rFonts w:ascii="Arial" w:hAnsi="Arial" w:cs="Arial"/>
          <w:sz w:val="24"/>
          <w:szCs w:val="24"/>
        </w:rPr>
      </w:pPr>
    </w:p>
    <w:p w:rsidR="00D632AD" w:rsidRPr="00D632AD" w:rsidRDefault="00D632AD" w:rsidP="00D632AD">
      <w:pPr>
        <w:spacing w:line="360" w:lineRule="auto"/>
        <w:ind w:left="6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Odległość między pojazdami:</w:t>
      </w:r>
    </w:p>
    <w:p w:rsidR="00D632AD" w:rsidRPr="00D632AD" w:rsidRDefault="00D632AD" w:rsidP="00D632AD">
      <w:pPr>
        <w:spacing w:line="360" w:lineRule="auto"/>
        <w:ind w:left="6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- w przypadku połączenia sztywnego maksymalnie 3m,</w:t>
      </w:r>
    </w:p>
    <w:p w:rsidR="00D632AD" w:rsidRPr="00D632AD" w:rsidRDefault="00D632AD" w:rsidP="00D632AD">
      <w:pPr>
        <w:spacing w:line="360" w:lineRule="auto"/>
        <w:ind w:left="6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 xml:space="preserve">- w przypadku połączenia giętkiego od 4 do 6m. </w:t>
      </w:r>
    </w:p>
    <w:p w:rsidR="00D632AD" w:rsidRPr="00D632AD" w:rsidRDefault="00D632AD" w:rsidP="00D632AD">
      <w:pPr>
        <w:spacing w:line="360" w:lineRule="auto"/>
        <w:ind w:left="6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Połączenie musi być oznakowane naprzemiennie pasami białymi i czerwonymi albo za pomocą chorągiewki czerwonej lub żółtej.</w:t>
      </w:r>
    </w:p>
    <w:p w:rsidR="00D632AD" w:rsidRPr="00D632AD" w:rsidRDefault="00D632AD" w:rsidP="00D632AD">
      <w:pPr>
        <w:spacing w:line="360" w:lineRule="auto"/>
        <w:ind w:left="66"/>
        <w:rPr>
          <w:rFonts w:ascii="Arial" w:hAnsi="Arial" w:cs="Arial"/>
          <w:sz w:val="36"/>
          <w:szCs w:val="24"/>
        </w:rPr>
      </w:pPr>
    </w:p>
    <w:p w:rsidR="00D632AD" w:rsidRPr="00D632AD" w:rsidRDefault="00D632AD" w:rsidP="00D632AD">
      <w:pPr>
        <w:spacing w:line="360" w:lineRule="auto"/>
        <w:ind w:left="6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lastRenderedPageBreak/>
        <w:t>W razie holowania pojazdu w sposób wykluczający potrzebę kierowania nim lub użycia hamulców, rzeczywista masa całkowita pojazdu holowanego nie może przekraczać rzeczywistej masy całkowitej pojazdu holującego.</w:t>
      </w:r>
    </w:p>
    <w:p w:rsidR="00D632AD" w:rsidRPr="00D632AD" w:rsidRDefault="00D632AD" w:rsidP="00D632AD">
      <w:pPr>
        <w:spacing w:line="360" w:lineRule="auto"/>
        <w:ind w:left="66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Zabrania się holowania:</w:t>
      </w:r>
    </w:p>
    <w:p w:rsidR="00D632AD" w:rsidRPr="00D632AD" w:rsidRDefault="00D632AD" w:rsidP="00D632A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 xml:space="preserve"> Pojazdu o niesprawnym układzie kierowniczym lub o niesprawnych hamulcach, chyba że sposób holowania wyklucza potrzebę ich użycia.</w:t>
      </w:r>
    </w:p>
    <w:p w:rsidR="00D632AD" w:rsidRPr="00D632AD" w:rsidRDefault="00D632AD" w:rsidP="00D632A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Pojazdu za pomocą połączenia giętkiego, jeżeli w pojeździe tym działanie układu hamulcowego uzależnione jest od pracy silnika a silnik jest unieruchomiony.</w:t>
      </w:r>
    </w:p>
    <w:p w:rsidR="00D632AD" w:rsidRPr="00D632AD" w:rsidRDefault="00D632AD" w:rsidP="00D632A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Więcej niż jednego pojazdu, z wyjątkiem pojazdu członowego (czyli zespołu pojazdów składającego się z pojazdu silnikowego z naczepą).</w:t>
      </w:r>
    </w:p>
    <w:p w:rsidR="00D632AD" w:rsidRPr="00D632AD" w:rsidRDefault="00D632AD" w:rsidP="00D632A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>Pojazdem z przyczepą (naczepą), hulajnogą elektryczną oraz urządzeniem transportu osobistego.</w:t>
      </w:r>
    </w:p>
    <w:p w:rsidR="001965B2" w:rsidRPr="00D632AD" w:rsidRDefault="00D632AD" w:rsidP="00AD00D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632AD">
        <w:rPr>
          <w:rFonts w:ascii="Arial" w:hAnsi="Arial" w:cs="Arial"/>
          <w:sz w:val="24"/>
          <w:szCs w:val="24"/>
        </w:rPr>
        <w:t xml:space="preserve">Na autostradzie, z wyjątkiem holowania przez pojazdy przeznaczone do holowania do najbliższego wyjazdu lub miejsca obsługi podróżnych. </w:t>
      </w:r>
    </w:p>
    <w:sectPr w:rsidR="001965B2" w:rsidRPr="00D632AD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C54B3"/>
    <w:multiLevelType w:val="hybridMultilevel"/>
    <w:tmpl w:val="AA367B3C"/>
    <w:lvl w:ilvl="0" w:tplc="04CA22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8150B"/>
    <w:multiLevelType w:val="hybridMultilevel"/>
    <w:tmpl w:val="B13C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1965B2"/>
    <w:rsid w:val="00330B74"/>
    <w:rsid w:val="00332049"/>
    <w:rsid w:val="003477DC"/>
    <w:rsid w:val="003E3F95"/>
    <w:rsid w:val="00401451"/>
    <w:rsid w:val="004056BE"/>
    <w:rsid w:val="00450001"/>
    <w:rsid w:val="00484CBC"/>
    <w:rsid w:val="005A0D75"/>
    <w:rsid w:val="005A24B8"/>
    <w:rsid w:val="005A78C0"/>
    <w:rsid w:val="006A21CD"/>
    <w:rsid w:val="006C32AD"/>
    <w:rsid w:val="00724AD7"/>
    <w:rsid w:val="007E606E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223CC"/>
    <w:rsid w:val="00A40A73"/>
    <w:rsid w:val="00AD00D1"/>
    <w:rsid w:val="00CA288F"/>
    <w:rsid w:val="00CB1098"/>
    <w:rsid w:val="00D5714E"/>
    <w:rsid w:val="00D632AD"/>
    <w:rsid w:val="00D80734"/>
    <w:rsid w:val="00DE1949"/>
    <w:rsid w:val="00E5471D"/>
    <w:rsid w:val="00EB36D0"/>
    <w:rsid w:val="00ED51E9"/>
    <w:rsid w:val="00F1423C"/>
    <w:rsid w:val="00F31C48"/>
    <w:rsid w:val="00F35686"/>
    <w:rsid w:val="00F52497"/>
    <w:rsid w:val="00F82A9C"/>
    <w:rsid w:val="00FB3EF4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26</cp:revision>
  <dcterms:created xsi:type="dcterms:W3CDTF">2021-03-25T14:59:00Z</dcterms:created>
  <dcterms:modified xsi:type="dcterms:W3CDTF">2021-07-08T08:40:00Z</dcterms:modified>
</cp:coreProperties>
</file>